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Seguimiento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010.0" w:type="dxa"/>
        <w:jc w:val="left"/>
        <w:tblInd w:w="-9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0"/>
        <w:gridCol w:w="1440"/>
        <w:gridCol w:w="1440"/>
        <w:gridCol w:w="1440"/>
        <w:gridCol w:w="1440"/>
        <w:gridCol w:w="6000"/>
        <w:tblGridChange w:id="0">
          <w:tblGrid>
            <w:gridCol w:w="2250"/>
            <w:gridCol w:w="1440"/>
            <w:gridCol w:w="1440"/>
            <w:gridCol w:w="1440"/>
            <w:gridCol w:w="1440"/>
            <w:gridCol w:w="60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 Acción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Estado actual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 presentada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 de verificación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cierre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Auditor verificador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Actualiza el estado de cada acción (abierta, en proceso, cerrada).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Incluye evidencia objetiva de cumplimiento.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Debe ser validado por el auditor líder.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8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9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1A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FO-E-PL-14-16</w:t>
          </w:r>
        </w:p>
        <w:p w:rsidR="00000000" w:rsidDel="00000000" w:rsidP="00000000" w:rsidRDefault="00000000" w:rsidRPr="00000000" w14:paraId="0000001B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1C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D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E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Seguimiento de Acciones Correctivas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1F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W0N2oFlpjZR2Mb/mf01U+eGnfQ==">CgMxLjAyCGguZ2pkZ3hzOAByITFfQ2FHeUZYXzZfMFUyTWRmaVRSd0ppd0QyRHI0X2N5LQ==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